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adjustRightInd w:val="0"/>
        <w:snapToGrid w:val="0"/>
        <w:spacing w:line="560" w:lineRule="exact"/>
        <w:jc w:val="left"/>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13"/>
        <w:widowControl w:val="0"/>
        <w:adjustRightInd w:val="0"/>
        <w:snapToGrid w:val="0"/>
        <w:spacing w:line="560" w:lineRule="exact"/>
        <w:jc w:val="center"/>
        <w:rPr>
          <w:rFonts w:ascii="?????_GBK" w:eastAsia="Times New Roman"/>
          <w:color w:val="000000"/>
          <w:spacing w:val="-10"/>
          <w:sz w:val="44"/>
          <w:szCs w:val="44"/>
        </w:rPr>
      </w:pPr>
    </w:p>
    <w:p>
      <w:pPr>
        <w:adjustRightInd w:val="0"/>
        <w:snapToGrid w:val="0"/>
        <w:spacing w:line="560" w:lineRule="exact"/>
        <w:jc w:val="center"/>
        <w:rPr>
          <w:rFonts w:ascii="方正小标宋简体" w:hAnsi="楷体" w:eastAsia="方正小标宋简体"/>
          <w:sz w:val="44"/>
          <w:szCs w:val="44"/>
        </w:rPr>
      </w:pPr>
      <w:r>
        <w:rPr>
          <w:rFonts w:ascii="方正小标宋简体" w:hAnsi="楷体" w:eastAsia="方正小标宋简体"/>
          <w:sz w:val="44"/>
          <w:szCs w:val="44"/>
        </w:rPr>
        <w:t>57.</w:t>
      </w:r>
      <w:r>
        <w:rPr>
          <w:rFonts w:hint="eastAsia" w:ascii="方正小标宋简体" w:hAnsi="楷体" w:eastAsia="方正小标宋简体"/>
          <w:sz w:val="44"/>
          <w:szCs w:val="44"/>
        </w:rPr>
        <w:t>缴费单位违反社会保险费征缴监督检查相关规定的处罚</w:t>
      </w:r>
    </w:p>
    <w:p>
      <w:pPr>
        <w:adjustRightInd w:val="0"/>
        <w:snapToGrid w:val="0"/>
        <w:spacing w:line="240" w:lineRule="exact"/>
        <w:jc w:val="center"/>
        <w:rPr>
          <w:rFonts w:ascii="方正小标宋简体" w:hAnsi="楷体" w:eastAsia="方正小标宋简体"/>
          <w:b/>
          <w:sz w:val="24"/>
        </w:rPr>
      </w:pPr>
    </w:p>
    <w:tbl>
      <w:tblPr>
        <w:tblStyle w:val="9"/>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缴费单位违反社会保险费征缴监督检查相关规定的处罚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numPr>
                <w:ilvl w:val="0"/>
                <w:numId w:val="1"/>
              </w:numPr>
              <w:adjustRightInd w:val="0"/>
              <w:snapToGrid w:val="0"/>
              <w:spacing w:line="400" w:lineRule="exact"/>
              <w:ind w:firstLine="420" w:firstLineChars="200"/>
              <w:rPr>
                <w:rFonts w:hint="eastAsia" w:ascii="宋体" w:hAnsi="宋体"/>
                <w:kern w:val="1"/>
                <w:sz w:val="21"/>
                <w:szCs w:val="21"/>
                <w:lang w:val="en-US" w:eastAsia="zh-CN"/>
              </w:rPr>
            </w:pPr>
            <w:r>
              <w:rPr>
                <w:rFonts w:hint="eastAsia" w:ascii="宋体" w:hAnsi="宋体"/>
                <w:kern w:val="1"/>
                <w:sz w:val="21"/>
                <w:szCs w:val="21"/>
                <w:lang w:val="en-US" w:eastAsia="zh-CN"/>
              </w:rPr>
              <w:t>《社会保险费征缴暂行条例》（1999年1月14日国务院第13次常务会议通过，1999年1月22日国务院令第259号发布，自发布之日起施行）</w:t>
            </w:r>
          </w:p>
          <w:p>
            <w:pPr>
              <w:numPr>
                <w:numId w:val="0"/>
              </w:numPr>
              <w:adjustRightInd w:val="0"/>
              <w:snapToGrid w:val="0"/>
              <w:spacing w:line="400" w:lineRule="exact"/>
              <w:rPr>
                <w:rFonts w:hint="eastAsia" w:ascii="宋体" w:hAnsi="宋体"/>
                <w:kern w:val="1"/>
                <w:sz w:val="21"/>
                <w:szCs w:val="21"/>
                <w:lang w:val="en-US" w:eastAsia="zh-CN"/>
              </w:rPr>
            </w:pPr>
            <w:r>
              <w:rPr>
                <w:rFonts w:ascii="Arial" w:hAnsi="Arial" w:eastAsia="宋体" w:cs="Arial"/>
                <w:b w:val="0"/>
                <w:i w:val="0"/>
                <w:caps w:val="0"/>
                <w:color w:val="333333"/>
                <w:spacing w:val="0"/>
                <w:sz w:val="21"/>
                <w:szCs w:val="21"/>
                <w:shd w:val="clear" w:fill="FFFFFF"/>
              </w:rPr>
              <w:t>第五条 国务院劳动保障行政部门负责全国的社会保险费征缴管理和监督检查工作。县级以上地方各级人民政府劳动保障行政部门负责本行政区域内的社会保险费征缴管理和监督检查工作。</w:t>
            </w:r>
          </w:p>
          <w:p>
            <w:pPr>
              <w:numPr>
                <w:numId w:val="0"/>
              </w:numPr>
              <w:adjustRightInd w:val="0"/>
              <w:snapToGrid w:val="0"/>
              <w:spacing w:line="400" w:lineRule="exact"/>
              <w:ind w:firstLine="420" w:firstLineChars="200"/>
              <w:rPr>
                <w:rFonts w:hint="eastAsia" w:ascii="宋体" w:hAnsi="宋体"/>
                <w:kern w:val="1"/>
                <w:sz w:val="21"/>
                <w:szCs w:val="21"/>
                <w:lang w:val="en-US" w:eastAsia="zh-CN"/>
              </w:rPr>
            </w:pPr>
            <w:r>
              <w:rPr>
                <w:rFonts w:hint="eastAsia" w:ascii="宋体" w:hAnsi="宋体"/>
                <w:kern w:val="1"/>
                <w:sz w:val="21"/>
                <w:szCs w:val="21"/>
                <w:lang w:val="en-US" w:eastAsia="zh-CN"/>
              </w:rPr>
              <w:t>第二十三条 缴费单位未按照规定办理社会保险登记、变更登记或者注销登记，或者未按照规定申报应缴纳的社会保险费数额的，由劳动保障行政部门责令限期改正;情节严重的，对直接负责的主管人员和其他直接责任人员可以处1000元以上5000元以下的罚款;情节特别严重的，对直接负责的主管人员和其他直接责任人员可以处5000元以上10000元以下的罚款。</w:t>
            </w:r>
          </w:p>
          <w:p>
            <w:pPr>
              <w:adjustRightInd w:val="0"/>
              <w:snapToGrid w:val="0"/>
              <w:spacing w:line="400" w:lineRule="exact"/>
              <w:ind w:firstLine="420" w:firstLineChars="200"/>
              <w:rPr>
                <w:rFonts w:hint="eastAsia" w:ascii="宋体" w:hAnsi="宋体"/>
                <w:kern w:val="1"/>
                <w:sz w:val="21"/>
                <w:szCs w:val="21"/>
                <w:lang w:val="en-US" w:eastAsia="zh-CN"/>
              </w:rPr>
            </w:pPr>
            <w:r>
              <w:rPr>
                <w:rFonts w:hint="eastAsia" w:ascii="宋体" w:hAnsi="宋体"/>
                <w:kern w:val="1"/>
                <w:sz w:val="21"/>
                <w:szCs w:val="21"/>
                <w:lang w:val="en-US" w:eastAsia="zh-CN"/>
              </w:rPr>
              <w:t>第二十四条 缴费单位违反有关财务、会计、统计的法律、行政法规和国家有关规定，伪造、变造、故意毁灭有关帐册、材料，或者不设帐册，致使社会保险费缴费基数无法确定的，除依照有关法律、行政法规的规定给予行政处罚、纪律处分、刑事处罚外，依照本条例第十条的规定征缴;迟延缴纳的，由劳动保障行政部门或者税务机关依照第十三条的规定决定加收滞纳金，并对直接负责的主管人员和其他直接责任人员处5000元以上20000元以下的罚款。</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lang w:val="en-US" w:eastAsia="zh-CN"/>
              </w:rPr>
              <w:t>2.</w:t>
            </w:r>
            <w:r>
              <w:rPr>
                <w:rFonts w:hint="eastAsia" w:ascii="宋体" w:hAnsi="宋体"/>
                <w:kern w:val="1"/>
                <w:sz w:val="21"/>
                <w:szCs w:val="21"/>
              </w:rPr>
              <w:t>《社会保险费征缴监督检查办法》（</w:t>
            </w:r>
            <w:r>
              <w:rPr>
                <w:rFonts w:ascii="宋体" w:hAnsi="宋体"/>
                <w:kern w:val="1"/>
                <w:sz w:val="21"/>
                <w:szCs w:val="21"/>
              </w:rPr>
              <w:t>1999</w:t>
            </w:r>
            <w:r>
              <w:rPr>
                <w:rFonts w:hint="eastAsia" w:ascii="宋体" w:hAnsi="宋体"/>
                <w:kern w:val="1"/>
                <w:sz w:val="21"/>
                <w:szCs w:val="21"/>
              </w:rPr>
              <w:t>年中华人民共和国劳动和社会保障部令第</w:t>
            </w:r>
            <w:r>
              <w:rPr>
                <w:rFonts w:ascii="宋体" w:hAnsi="宋体"/>
                <w:kern w:val="1"/>
                <w:sz w:val="21"/>
                <w:szCs w:val="21"/>
              </w:rPr>
              <w:t>3</w:t>
            </w:r>
            <w:r>
              <w:rPr>
                <w:rFonts w:hint="eastAsia" w:ascii="宋体" w:hAnsi="宋体"/>
                <w:kern w:val="1"/>
                <w:sz w:val="21"/>
                <w:szCs w:val="21"/>
              </w:rPr>
              <w:t>号，</w:t>
            </w:r>
            <w:r>
              <w:rPr>
                <w:rFonts w:ascii="宋体" w:hAnsi="宋体"/>
                <w:kern w:val="1"/>
                <w:sz w:val="21"/>
                <w:szCs w:val="21"/>
              </w:rPr>
              <w:t>1999</w:t>
            </w:r>
            <w:r>
              <w:rPr>
                <w:rFonts w:hint="eastAsia" w:ascii="宋体" w:hAnsi="宋体"/>
                <w:kern w:val="1"/>
                <w:sz w:val="21"/>
                <w:szCs w:val="21"/>
              </w:rPr>
              <w:t>年</w:t>
            </w:r>
            <w:r>
              <w:rPr>
                <w:rFonts w:ascii="宋体" w:hAnsi="宋体"/>
                <w:kern w:val="1"/>
                <w:sz w:val="21"/>
                <w:szCs w:val="21"/>
              </w:rPr>
              <w:t>3</w:t>
            </w:r>
            <w:r>
              <w:rPr>
                <w:rFonts w:hint="eastAsia" w:ascii="宋体" w:hAnsi="宋体"/>
                <w:kern w:val="1"/>
                <w:sz w:val="21"/>
                <w:szCs w:val="21"/>
              </w:rPr>
              <w:t>月</w:t>
            </w:r>
            <w:r>
              <w:rPr>
                <w:rFonts w:ascii="宋体" w:hAnsi="宋体"/>
                <w:kern w:val="1"/>
                <w:sz w:val="21"/>
                <w:szCs w:val="21"/>
              </w:rPr>
              <w:t>19</w:t>
            </w:r>
            <w:r>
              <w:rPr>
                <w:rFonts w:hint="eastAsia" w:ascii="宋体" w:hAnsi="宋体"/>
                <w:kern w:val="1"/>
                <w:sz w:val="21"/>
                <w:szCs w:val="21"/>
              </w:rPr>
              <w:t>日公布，自公布之日起实施）第五条县级以上地方各级劳动保障行政部门对缴费单位监督检查的管辖范围，由省、自治区、直辖市劳动保障行政部门依照社会保险登记、缴费申报和缴费工作管理权限，制定具体规定。</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第十三条对缴费单位有下列行为之一的，依照条例第十三条的规定，从欠缴之日起，按日加收千分之二的滞纳金，并对直接负责的主管人员和其他直接责任人员处以</w:t>
            </w:r>
            <w:r>
              <w:rPr>
                <w:rFonts w:ascii="宋体" w:hAnsi="宋体"/>
                <w:kern w:val="1"/>
                <w:sz w:val="21"/>
                <w:szCs w:val="21"/>
              </w:rPr>
              <w:t>5000</w:t>
            </w:r>
            <w:r>
              <w:rPr>
                <w:rFonts w:hint="eastAsia" w:ascii="宋体" w:hAnsi="宋体"/>
                <w:kern w:val="1"/>
                <w:sz w:val="21"/>
                <w:szCs w:val="21"/>
              </w:rPr>
              <w:t>元以上</w:t>
            </w:r>
            <w:r>
              <w:rPr>
                <w:rFonts w:ascii="宋体" w:hAnsi="宋体"/>
                <w:kern w:val="1"/>
                <w:sz w:val="21"/>
                <w:szCs w:val="21"/>
              </w:rPr>
              <w:t>20000</w:t>
            </w:r>
            <w:r>
              <w:rPr>
                <w:rFonts w:hint="eastAsia" w:ascii="宋体" w:hAnsi="宋体"/>
                <w:kern w:val="1"/>
                <w:sz w:val="21"/>
                <w:szCs w:val="21"/>
              </w:rPr>
              <w:t>元以下罚款</w:t>
            </w:r>
            <w:r>
              <w:rPr>
                <w:rFonts w:ascii="宋体" w:hAnsi="宋体"/>
                <w:kern w:val="1"/>
                <w:sz w:val="21"/>
                <w:szCs w:val="21"/>
              </w:rPr>
              <w:t>:</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 xml:space="preserve"> (</w:t>
            </w:r>
            <w:r>
              <w:rPr>
                <w:rFonts w:hint="eastAsia" w:ascii="宋体" w:hAnsi="宋体"/>
                <w:kern w:val="1"/>
                <w:sz w:val="21"/>
                <w:szCs w:val="21"/>
              </w:rPr>
              <w:t>一</w:t>
            </w:r>
            <w:r>
              <w:rPr>
                <w:rFonts w:ascii="宋体" w:hAnsi="宋体"/>
                <w:kern w:val="1"/>
                <w:sz w:val="21"/>
                <w:szCs w:val="21"/>
              </w:rPr>
              <w:t>)</w:t>
            </w:r>
            <w:r>
              <w:rPr>
                <w:rFonts w:hint="eastAsia" w:ascii="宋体" w:hAnsi="宋体"/>
                <w:kern w:val="1"/>
                <w:sz w:val="21"/>
                <w:szCs w:val="21"/>
              </w:rPr>
              <w:t>因伪造、变造、故意毁灭有关帐册、材料造成社会保险费迟延缴纳的</w:t>
            </w:r>
            <w:r>
              <w:rPr>
                <w:rFonts w:ascii="宋体" w:hAnsi="宋体"/>
                <w:kern w:val="1"/>
                <w:sz w:val="21"/>
                <w:szCs w:val="21"/>
              </w:rPr>
              <w:t>;</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 xml:space="preserve"> (</w:t>
            </w:r>
            <w:r>
              <w:rPr>
                <w:rFonts w:hint="eastAsia" w:ascii="宋体" w:hAnsi="宋体"/>
                <w:kern w:val="1"/>
                <w:sz w:val="21"/>
                <w:szCs w:val="21"/>
              </w:rPr>
              <w:t>二</w:t>
            </w:r>
            <w:r>
              <w:rPr>
                <w:rFonts w:ascii="宋体" w:hAnsi="宋体"/>
                <w:kern w:val="1"/>
                <w:sz w:val="21"/>
                <w:szCs w:val="21"/>
              </w:rPr>
              <w:t>)</w:t>
            </w:r>
            <w:r>
              <w:rPr>
                <w:rFonts w:hint="eastAsia" w:ascii="宋体" w:hAnsi="宋体"/>
                <w:kern w:val="1"/>
                <w:sz w:val="21"/>
                <w:szCs w:val="21"/>
              </w:rPr>
              <w:t>因不设帐册造成社会保险费迟延缴纳的</w:t>
            </w:r>
            <w:r>
              <w:rPr>
                <w:rFonts w:ascii="宋体" w:hAnsi="宋体"/>
                <w:kern w:val="1"/>
                <w:sz w:val="21"/>
                <w:szCs w:val="21"/>
              </w:rPr>
              <w:t>;</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 xml:space="preserve"> (</w:t>
            </w:r>
            <w:r>
              <w:rPr>
                <w:rFonts w:hint="eastAsia" w:ascii="宋体" w:hAnsi="宋体"/>
                <w:kern w:val="1"/>
                <w:sz w:val="21"/>
                <w:szCs w:val="21"/>
              </w:rPr>
              <w:t>三</w:t>
            </w:r>
            <w:r>
              <w:rPr>
                <w:rFonts w:ascii="宋体" w:hAnsi="宋体"/>
                <w:kern w:val="1"/>
                <w:sz w:val="21"/>
                <w:szCs w:val="21"/>
              </w:rPr>
              <w:t>)</w:t>
            </w:r>
            <w:r>
              <w:rPr>
                <w:rFonts w:hint="eastAsia" w:ascii="宋体" w:hAnsi="宋体"/>
                <w:kern w:val="1"/>
                <w:sz w:val="21"/>
                <w:szCs w:val="21"/>
              </w:rPr>
              <w:t>因其他违法行为造成社会保险费迟延缴纳的。</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第十四条对缴费单位有下列行为之一的，应当给予警告，并可以处以</w:t>
            </w:r>
            <w:r>
              <w:rPr>
                <w:rFonts w:ascii="宋体" w:hAnsi="宋体"/>
                <w:kern w:val="1"/>
                <w:sz w:val="21"/>
                <w:szCs w:val="21"/>
              </w:rPr>
              <w:t>5000</w:t>
            </w:r>
            <w:r>
              <w:rPr>
                <w:rFonts w:hint="eastAsia" w:ascii="宋体" w:hAnsi="宋体"/>
                <w:kern w:val="1"/>
                <w:sz w:val="21"/>
                <w:szCs w:val="21"/>
              </w:rPr>
              <w:t>元以下的罚款：</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（一）伪造、变造社会保险登记证的；</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（二）未按规定从缴费个人工资中代扣代缴社会保险费的；</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（三）未按规定向职工公布本单位社会保险费缴纳情况的。</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对上述违法行为的行政处罚，法律、法规另有规定的，从其规定。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在柳州市行政区域内由工商部门登记注册的，违反社会保险费征缴监督检查相关规定的参保单位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lang w:val="en-US" w:eastAsia="zh-CN"/>
              </w:rPr>
              <w:t>0</w:t>
            </w:r>
            <w:r>
              <w:rPr>
                <w:rFonts w:hint="eastAsia" w:ascii="宋体" w:hAnsi="宋体"/>
                <w:sz w:val="21"/>
                <w:szCs w:val="21"/>
              </w:rPr>
              <w:t>月</w:t>
            </w:r>
            <w:r>
              <w:rPr>
                <w:rFonts w:hint="eastAsia" w:ascii="宋体" w:hAnsi="宋体"/>
                <w:sz w:val="21"/>
                <w:szCs w:val="21"/>
                <w:lang w:val="en-US" w:eastAsia="zh-CN"/>
              </w:rPr>
              <w:t>26</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对缴费单位有下列行为之一的，依照条例第十三条的规定，从欠缴之日起，按日加收千分之二的滞纳金，并对直接负责的主管人员和其他直接责任人员处以</w:t>
            </w:r>
            <w:r>
              <w:rPr>
                <w:rFonts w:ascii="宋体" w:hAnsi="宋体"/>
                <w:sz w:val="21"/>
                <w:szCs w:val="21"/>
              </w:rPr>
              <w:t>5000</w:t>
            </w:r>
            <w:r>
              <w:rPr>
                <w:rFonts w:hint="eastAsia" w:ascii="宋体" w:hAnsi="宋体"/>
                <w:sz w:val="21"/>
                <w:szCs w:val="21"/>
              </w:rPr>
              <w:t>元以上</w:t>
            </w:r>
            <w:r>
              <w:rPr>
                <w:rFonts w:ascii="宋体" w:hAnsi="宋体"/>
                <w:sz w:val="21"/>
                <w:szCs w:val="21"/>
              </w:rPr>
              <w:t>20000</w:t>
            </w:r>
            <w:r>
              <w:rPr>
                <w:rFonts w:hint="eastAsia" w:ascii="宋体" w:hAnsi="宋体"/>
                <w:sz w:val="21"/>
                <w:szCs w:val="21"/>
              </w:rPr>
              <w:t>元以下罚款</w:t>
            </w:r>
            <w:r>
              <w:rPr>
                <w:rFonts w:ascii="宋体" w:hAnsi="宋体"/>
                <w:sz w:val="21"/>
                <w:szCs w:val="21"/>
              </w:rPr>
              <w:t>:</w:t>
            </w:r>
          </w:p>
          <w:p>
            <w:pPr>
              <w:adjustRightInd w:val="0"/>
              <w:snapToGrid w:val="0"/>
              <w:spacing w:line="400" w:lineRule="exact"/>
              <w:ind w:firstLine="525" w:firstLineChars="250"/>
              <w:rPr>
                <w:rFonts w:ascii="宋体"/>
                <w:sz w:val="21"/>
                <w:szCs w:val="21"/>
              </w:rPr>
            </w:pPr>
            <w:r>
              <w:rPr>
                <w:rFonts w:ascii="宋体" w:hAnsi="宋体"/>
                <w:sz w:val="21"/>
                <w:szCs w:val="21"/>
              </w:rPr>
              <w:t>(</w:t>
            </w:r>
            <w:r>
              <w:rPr>
                <w:rFonts w:hint="eastAsia" w:ascii="宋体" w:hAnsi="宋体"/>
                <w:sz w:val="21"/>
                <w:szCs w:val="21"/>
              </w:rPr>
              <w:t>一</w:t>
            </w:r>
            <w:r>
              <w:rPr>
                <w:rFonts w:ascii="宋体" w:hAnsi="宋体"/>
                <w:sz w:val="21"/>
                <w:szCs w:val="21"/>
              </w:rPr>
              <w:t>)</w:t>
            </w:r>
            <w:r>
              <w:rPr>
                <w:rFonts w:hint="eastAsia" w:ascii="宋体" w:hAnsi="宋体"/>
                <w:sz w:val="21"/>
                <w:szCs w:val="21"/>
              </w:rPr>
              <w:t>因伪造、变造、故意毁灭有关帐册、材料造成社会保险费迟延缴纳的</w:t>
            </w:r>
            <w:r>
              <w:rPr>
                <w:rFonts w:ascii="宋体" w:hAnsi="宋体"/>
                <w:sz w:val="21"/>
                <w:szCs w:val="21"/>
              </w:rPr>
              <w:t>;</w:t>
            </w:r>
          </w:p>
          <w:p>
            <w:pPr>
              <w:adjustRightInd w:val="0"/>
              <w:snapToGrid w:val="0"/>
              <w:spacing w:line="400" w:lineRule="exact"/>
              <w:ind w:firstLine="420" w:firstLineChars="200"/>
              <w:rPr>
                <w:rFonts w:ascii="宋体"/>
                <w:sz w:val="21"/>
                <w:szCs w:val="21"/>
              </w:rPr>
            </w:pPr>
            <w:r>
              <w:rPr>
                <w:rFonts w:ascii="宋体" w:hAnsi="宋体"/>
                <w:sz w:val="21"/>
                <w:szCs w:val="21"/>
              </w:rPr>
              <w:t xml:space="preserve"> (</w:t>
            </w:r>
            <w:r>
              <w:rPr>
                <w:rFonts w:hint="eastAsia" w:ascii="宋体" w:hAnsi="宋体"/>
                <w:sz w:val="21"/>
                <w:szCs w:val="21"/>
              </w:rPr>
              <w:t>二</w:t>
            </w:r>
            <w:r>
              <w:rPr>
                <w:rFonts w:ascii="宋体" w:hAnsi="宋体"/>
                <w:sz w:val="21"/>
                <w:szCs w:val="21"/>
              </w:rPr>
              <w:t>)</w:t>
            </w:r>
            <w:r>
              <w:rPr>
                <w:rFonts w:hint="eastAsia" w:ascii="宋体" w:hAnsi="宋体"/>
                <w:sz w:val="21"/>
                <w:szCs w:val="21"/>
              </w:rPr>
              <w:t>因不设帐册造成社会保险费迟延缴纳的</w:t>
            </w:r>
            <w:r>
              <w:rPr>
                <w:rFonts w:ascii="宋体" w:hAnsi="宋体"/>
                <w:sz w:val="21"/>
                <w:szCs w:val="21"/>
              </w:rPr>
              <w:t>;</w:t>
            </w:r>
          </w:p>
          <w:p>
            <w:pPr>
              <w:adjustRightInd w:val="0"/>
              <w:snapToGrid w:val="0"/>
              <w:spacing w:line="400" w:lineRule="exact"/>
              <w:ind w:firstLine="420" w:firstLineChars="200"/>
              <w:rPr>
                <w:rFonts w:ascii="宋体"/>
                <w:sz w:val="21"/>
                <w:szCs w:val="21"/>
              </w:rPr>
            </w:pPr>
            <w:r>
              <w:rPr>
                <w:rFonts w:ascii="宋体" w:hAnsi="宋体"/>
                <w:sz w:val="21"/>
                <w:szCs w:val="21"/>
              </w:rPr>
              <w:t xml:space="preserve"> (</w:t>
            </w:r>
            <w:r>
              <w:rPr>
                <w:rFonts w:hint="eastAsia" w:ascii="宋体" w:hAnsi="宋体"/>
                <w:sz w:val="21"/>
                <w:szCs w:val="21"/>
              </w:rPr>
              <w:t>三</w:t>
            </w:r>
            <w:r>
              <w:rPr>
                <w:rFonts w:ascii="宋体" w:hAnsi="宋体"/>
                <w:sz w:val="21"/>
                <w:szCs w:val="21"/>
              </w:rPr>
              <w:t>)</w:t>
            </w:r>
            <w:r>
              <w:rPr>
                <w:rFonts w:hint="eastAsia" w:ascii="宋体" w:hAnsi="宋体"/>
                <w:sz w:val="21"/>
                <w:szCs w:val="21"/>
              </w:rPr>
              <w:t>因其他违法行为造成社会保险费迟延缴纳的。</w:t>
            </w:r>
          </w:p>
          <w:p>
            <w:pPr>
              <w:adjustRightInd w:val="0"/>
              <w:snapToGrid w:val="0"/>
              <w:spacing w:line="400" w:lineRule="exact"/>
              <w:ind w:firstLine="420" w:firstLineChars="200"/>
              <w:rPr>
                <w:rFonts w:ascii="宋体"/>
                <w:sz w:val="21"/>
                <w:szCs w:val="21"/>
              </w:rPr>
            </w:pPr>
            <w:r>
              <w:rPr>
                <w:rFonts w:hint="eastAsia" w:ascii="宋体" w:hAnsi="宋体"/>
                <w:sz w:val="21"/>
                <w:szCs w:val="21"/>
              </w:rPr>
              <w:t>第十四条对缴费单位有下列行为之一的，应当给予警告，并可以处以</w:t>
            </w:r>
            <w:r>
              <w:rPr>
                <w:rFonts w:ascii="宋体" w:hAnsi="宋体"/>
                <w:sz w:val="21"/>
                <w:szCs w:val="21"/>
              </w:rPr>
              <w:t>5000</w:t>
            </w:r>
            <w:r>
              <w:rPr>
                <w:rFonts w:hint="eastAsia" w:ascii="宋体" w:hAnsi="宋体"/>
                <w:sz w:val="21"/>
                <w:szCs w:val="21"/>
              </w:rPr>
              <w:t>元以下的罚款：</w:t>
            </w:r>
          </w:p>
          <w:p>
            <w:pPr>
              <w:adjustRightInd w:val="0"/>
              <w:snapToGrid w:val="0"/>
              <w:spacing w:line="400" w:lineRule="exact"/>
              <w:ind w:firstLine="420" w:firstLineChars="200"/>
              <w:rPr>
                <w:rFonts w:ascii="宋体"/>
                <w:sz w:val="21"/>
                <w:szCs w:val="21"/>
              </w:rPr>
            </w:pPr>
            <w:r>
              <w:rPr>
                <w:rFonts w:hint="eastAsia" w:ascii="宋体" w:hAnsi="宋体"/>
                <w:sz w:val="21"/>
                <w:szCs w:val="21"/>
              </w:rPr>
              <w:t>（一）伪造、变造社会保险登记证的；</w:t>
            </w:r>
          </w:p>
          <w:p>
            <w:pPr>
              <w:adjustRightInd w:val="0"/>
              <w:snapToGrid w:val="0"/>
              <w:spacing w:line="400" w:lineRule="exact"/>
              <w:ind w:firstLine="420" w:firstLineChars="200"/>
              <w:rPr>
                <w:rFonts w:ascii="宋体"/>
                <w:sz w:val="21"/>
                <w:szCs w:val="21"/>
              </w:rPr>
            </w:pPr>
            <w:r>
              <w:rPr>
                <w:rFonts w:hint="eastAsia" w:ascii="宋体" w:hAnsi="宋体"/>
                <w:sz w:val="21"/>
                <w:szCs w:val="21"/>
              </w:rPr>
              <w:t>（二）未按规定从缴费个人工资中代扣代缴社会保险费的；</w:t>
            </w:r>
          </w:p>
          <w:p>
            <w:pPr>
              <w:adjustRightInd w:val="0"/>
              <w:snapToGrid w:val="0"/>
              <w:spacing w:line="400" w:lineRule="exact"/>
              <w:ind w:firstLine="420" w:firstLineChars="200"/>
              <w:rPr>
                <w:rFonts w:ascii="宋体"/>
                <w:sz w:val="21"/>
                <w:szCs w:val="21"/>
              </w:rPr>
            </w:pPr>
            <w:r>
              <w:rPr>
                <w:rFonts w:hint="eastAsia" w:ascii="宋体" w:hAnsi="宋体"/>
                <w:sz w:val="21"/>
                <w:szCs w:val="21"/>
              </w:rPr>
              <w:t>（三）未按规定向职工公布本单位社会保险费缴纳情况的。</w:t>
            </w:r>
          </w:p>
          <w:p>
            <w:pPr>
              <w:adjustRightInd w:val="0"/>
              <w:snapToGrid w:val="0"/>
              <w:spacing w:line="400" w:lineRule="exact"/>
              <w:ind w:firstLine="420" w:firstLineChars="200"/>
              <w:rPr>
                <w:rFonts w:ascii="宋体"/>
                <w:sz w:val="21"/>
                <w:szCs w:val="21"/>
              </w:rPr>
            </w:pPr>
            <w:r>
              <w:rPr>
                <w:rFonts w:hint="eastAsia" w:ascii="宋体" w:hAnsi="宋体"/>
                <w:sz w:val="21"/>
                <w:szCs w:val="21"/>
              </w:rPr>
              <w:t>对上述违法行为的行政处罚，法律、法规另有规定的，从其规定。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75个工作日,情况复杂或特殊情况，经本级劳动保障行政部门负责人批准可以延长。</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56-1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60" w:lineRule="exact"/>
        <w:jc w:val="center"/>
        <w:rPr>
          <w:rFonts w:hint="eastAsia" w:ascii="方正小标宋简体" w:eastAsia="方正小标宋简体"/>
          <w:bCs/>
          <w:sz w:val="44"/>
          <w:szCs w:val="44"/>
          <w:shd w:val="clear" w:color="auto" w:fill="FFFFFF"/>
        </w:rPr>
      </w:pPr>
    </w:p>
    <w:p>
      <w:pPr>
        <w:adjustRightInd w:val="0"/>
        <w:snapToGrid w:val="0"/>
        <w:spacing w:line="560" w:lineRule="exact"/>
        <w:jc w:val="center"/>
        <w:rPr>
          <w:rFonts w:ascii="方正小标宋简体" w:eastAsia="方正小标宋简体"/>
          <w:bCs/>
          <w:sz w:val="44"/>
          <w:szCs w:val="44"/>
          <w:shd w:val="clear" w:color="auto" w:fill="FFFFFF"/>
        </w:rPr>
      </w:pPr>
      <w:bookmarkStart w:id="0" w:name="_GoBack"/>
      <w:bookmarkEnd w:id="0"/>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9"/>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风险点</w:t>
            </w:r>
          </w:p>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adjustRightInd w:val="0"/>
              <w:snapToGrid w:val="0"/>
              <w:spacing w:line="400" w:lineRule="exact"/>
              <w:jc w:val="center"/>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0" w:hRule="atLeast"/>
          <w:jc w:val="center"/>
        </w:trPr>
        <w:tc>
          <w:tcPr>
            <w:tcW w:w="939" w:type="dxa"/>
            <w:vMerge w:val="restart"/>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sz w:val="21"/>
                <w:szCs w:val="21"/>
              </w:rPr>
              <w:t>4</w:t>
            </w:r>
          </w:p>
        </w:tc>
        <w:tc>
          <w:tcPr>
            <w:tcW w:w="3140" w:type="dxa"/>
            <w:tcMar>
              <w:top w:w="57" w:type="dxa"/>
              <w:bottom w:w="57" w:type="dxa"/>
            </w:tcMar>
            <w:vAlign w:val="center"/>
          </w:tcPr>
          <w:p>
            <w:pPr>
              <w:adjustRightInd w:val="0"/>
              <w:snapToGrid w:val="0"/>
              <w:spacing w:line="400" w:lineRule="exact"/>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adjustRightInd w:val="0"/>
              <w:snapToGrid w:val="0"/>
              <w:spacing w:line="400" w:lineRule="exact"/>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12"/>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柳州市劳动保障监察支队主要负责人或分管劳动保障监察工作的局领导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严格按照《行政处罚法》、《劳动保障监察条例》的规定送达和执行。</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96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56-1.</w:t>
      </w:r>
      <w:r>
        <w:rPr>
          <w:rFonts w:hint="eastAsia" w:ascii="仿宋" w:hAnsi="仿宋" w:eastAsia="仿宋"/>
          <w:sz w:val="32"/>
          <w:szCs w:val="32"/>
        </w:rPr>
        <w:t>缴费单位违反社会保险费征缴监督检查相关规定的处罚流程图</w:t>
      </w:r>
    </w:p>
    <w:p>
      <w:pPr>
        <w:spacing w:line="56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56-1</w:t>
      </w:r>
    </w:p>
    <w:p>
      <w:pPr>
        <w:tabs>
          <w:tab w:val="left" w:pos="0"/>
        </w:tabs>
        <w:adjustRightInd w:val="0"/>
        <w:snapToGrid w:val="0"/>
        <w:spacing w:line="560" w:lineRule="exact"/>
        <w:jc w:val="center"/>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缴费单位违反社会保险费征缴监督检查相关规定的处罚</w:t>
      </w:r>
    </w:p>
    <w:p>
      <w:pPr>
        <w:tabs>
          <w:tab w:val="left" w:pos="0"/>
        </w:tabs>
        <w:adjustRightInd w:val="0"/>
        <w:snapToGrid w:val="0"/>
        <w:spacing w:line="560" w:lineRule="exact"/>
        <w:jc w:val="center"/>
        <w:rPr>
          <w:rFonts w:ascii="仿宋" w:hAnsi="仿宋" w:eastAsia="仿宋" w:cs="仿宋"/>
          <w:snapToGrid w:val="0"/>
          <w:color w:val="000000"/>
          <w:sz w:val="32"/>
          <w:szCs w:val="32"/>
        </w:rPr>
      </w:pPr>
      <w:r>
        <w:rPr>
          <w:rFonts w:hint="eastAsia" w:ascii="仿宋" w:hAnsi="仿宋" w:eastAsia="仿宋" w:cs="仿宋"/>
          <w:snapToGrid w:val="0"/>
          <w:color w:val="000000"/>
          <w:sz w:val="32"/>
          <w:szCs w:val="32"/>
        </w:rPr>
        <w:t>(法定办结时限：75个工作日,情况复杂或特殊情况，经本级劳动保障行政部门负责人批准可以延长。）</w:t>
      </w:r>
    </w:p>
    <w:p/>
    <w:p>
      <w:r>
        <w:pict>
          <v:group id="_x0000_s1057" o:spid="_x0000_s1057" o:spt="203" style="position:absolute;left:0pt;margin-left:23.65pt;margin-top:0.65pt;height:448.05pt;width:397.6pt;z-index:251658240;mso-width-relative:page;mso-height-relative:page;" coordorigin="3383,5620" coordsize="7952,8961">
            <o:lock v:ext="edit"/>
            <v:shape id="文本框 2" o:spid="_x0000_s1058"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59"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60"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61"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62"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63"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64"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65"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66"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67" o:spt="20" style="position:absolute;left:4464;top:6213;height:328;width:1;" filled="t" coordsize="21600,21600">
              <v:path arrowok="t"/>
              <v:fill on="t" focussize="0,0"/>
              <v:stroke weight="1pt"/>
              <v:imagedata o:title=""/>
              <o:lock v:ext="edit"/>
            </v:line>
            <v:line id="直线 7" o:spid="_x0000_s1068" o:spt="20" style="position:absolute;left:7900;top:6292;height:232;width:1;" filled="t" coordsize="21600,21600">
              <v:path arrowok="t"/>
              <v:fill on="t" focussize="0,0"/>
              <v:stroke weight="1pt"/>
              <v:imagedata o:title=""/>
              <o:lock v:ext="edit"/>
            </v:line>
            <v:line id="直线 6" o:spid="_x0000_s1069" o:spt="20" style="position:absolute;left:4464;top:6538;height:1;width:3450;" filled="t" coordsize="21600,21600">
              <v:path arrowok="t"/>
              <v:fill on="t" focussize="0,0"/>
              <v:stroke weight="1pt"/>
              <v:imagedata o:title=""/>
              <o:lock v:ext="edit"/>
            </v:line>
            <v:line id="直线 12" o:spid="_x0000_s1070" o:spt="20" style="position:absolute;left:4205;top:7179;flip:x;height:1;width:831;" filled="t" coordsize="21600,21600">
              <v:path arrowok="t"/>
              <v:fill on="t" focussize="0,0"/>
              <v:stroke weight="1pt"/>
              <v:imagedata o:title=""/>
              <o:lock v:ext="edit"/>
            </v:line>
            <v:line id="直线 11" o:spid="_x0000_s1071" o:spt="20" style="position:absolute;left:7191;top:7192;height:1;width:995;" filled="t" coordsize="21600,21600">
              <v:path arrowok="t"/>
              <v:fill on="t" focussize="0,0"/>
              <v:stroke weight="1pt"/>
              <v:imagedata o:title=""/>
              <o:lock v:ext="edit"/>
            </v:line>
            <v:line id="直线 10" o:spid="_x0000_s1072" o:spt="20" style="position:absolute;left:4218;top:7179;height:695;width:1;" filled="t" coordsize="21600,21600">
              <v:path arrowok="t"/>
              <v:fill on="t" focussize="0,0"/>
              <v:stroke weight="1pt" endarrow="block"/>
              <v:imagedata o:title=""/>
              <o:lock v:ext="edit"/>
            </v:line>
            <v:line id="直线 9" o:spid="_x0000_s1073" o:spt="20" style="position:absolute;left:8186;top:7206;height:682;width:1;" filled="t" coordsize="21600,21600">
              <v:path arrowok="t"/>
              <v:fill on="t" focussize="0,0"/>
              <v:stroke weight="1pt" endarrow="block"/>
              <v:imagedata o:title=""/>
              <o:lock v:ext="edit"/>
            </v:line>
            <v:line id="直线 17" o:spid="_x0000_s1074" o:spt="20" style="position:absolute;left:4259;top:8488;height:1636;width:1;" filled="t" coordsize="21600,21600">
              <v:path arrowok="t"/>
              <v:fill on="t" focussize="0,0"/>
              <v:stroke weight="1pt" endarrow="block"/>
              <v:imagedata o:title=""/>
              <o:lock v:ext="edit"/>
            </v:line>
            <v:line id="直线 15" o:spid="_x0000_s1075" o:spt="20" style="position:absolute;left:8159;top:8474;height:423;width:1;" filled="t" coordsize="21600,21600">
              <v:path arrowok="t"/>
              <v:fill on="t" focussize="0,0"/>
              <v:stroke weight="1pt" endarrow="block"/>
              <v:imagedata o:title=""/>
              <o:lock v:ext="edit"/>
            </v:line>
            <v:line id="_x0000_s1076" o:spid="_x0000_s1076" o:spt="20" style="position:absolute;left:5296;top:10411;height:0;width:1236;" coordsize="21600,21600">
              <v:path arrowok="t"/>
              <v:fill focussize="0,0"/>
              <v:stroke weight="1pt" endarrow="block"/>
              <v:imagedata o:title=""/>
              <o:lock v:ext="edit"/>
            </v:line>
            <v:line id="直线 20" o:spid="_x0000_s1077" o:spt="20" style="position:absolute;left:4308;top:10719;flip:x;height:620;width:13;" coordsize="21600,21600">
              <v:path arrowok="t"/>
              <v:fill focussize="0,0"/>
              <v:stroke weight="1pt"/>
              <v:imagedata o:title=""/>
              <o:lock v:ext="edit"/>
            </v:line>
            <v:line id="直线 22" o:spid="_x0000_s1078" o:spt="20" style="position:absolute;left:8304;top:11196;height:158;width:1;" coordsize="21600,21600">
              <v:path arrowok="t"/>
              <v:fill focussize="0,0"/>
              <v:stroke weight="1pt"/>
              <v:imagedata o:title=""/>
              <o:lock v:ext="edit"/>
            </v:line>
            <v:line id="_x0000_s1079" o:spid="_x0000_s1079" o:spt="20" style="position:absolute;left:4321;top:11339;height:1;width:3981;" coordsize="21600,21600">
              <v:path arrowok="t"/>
              <v:fill focussize="0,0"/>
              <v:stroke weight="1pt"/>
              <v:imagedata o:title=""/>
              <o:lock v:ext="edit"/>
            </v:line>
            <v:line id="直线 23" o:spid="_x0000_s1080" o:spt="20" style="position:absolute;left:6139;top:11351;height:312;width:0;" filled="t" coordsize="21600,21600">
              <v:path arrowok="t"/>
              <v:fill on="t" focussize="0,0"/>
              <v:stroke weight="1pt" endarrow="block"/>
              <v:imagedata o:title=""/>
              <o:lock v:ext="edit"/>
            </v:line>
            <v:line id="_x0000_s1081" o:spid="_x0000_s1081" o:spt="20" style="position:absolute;left:6182;top:12511;height:373;width:1;" coordsize="21600,21600">
              <v:path arrowok="t"/>
              <v:fill focussize="0,0"/>
              <v:stroke weight="1pt"/>
              <v:imagedata o:title=""/>
              <o:lock v:ext="edit"/>
            </v:line>
            <v:line id="直线 29" o:spid="_x0000_s1082" o:spt="20" style="position:absolute;left:4384;top:12895;height:1;width:4131;" coordsize="21600,21600">
              <v:path arrowok="t"/>
              <v:fill focussize="0,0"/>
              <v:stroke weight="1pt"/>
              <v:imagedata o:title=""/>
              <o:lock v:ext="edit"/>
            </v:line>
            <v:line id="_x0000_s1083" o:spid="_x0000_s1083" o:spt="20" style="position:absolute;left:4382;top:12885;height:450;width:0;" filled="t" coordsize="21600,21600">
              <v:path arrowok="t"/>
              <v:fill on="t" focussize="0,0"/>
              <v:stroke weight="1pt" endarrow="block"/>
              <v:imagedata o:title=""/>
              <o:lock v:ext="edit"/>
            </v:line>
            <v:line id="直线 27" o:spid="_x0000_s1084" o:spt="20" style="position:absolute;left:8514;top:12898;flip:x;height:559;width:0;" coordsize="21600,21600">
              <v:path arrowok="t"/>
              <v:fill focussize="0,0"/>
              <v:stroke weight="1pt" endarrow="block"/>
              <v:imagedata o:title=""/>
              <o:lock v:ext="edit"/>
            </v:line>
            <v:line id="直线 4" o:spid="_x0000_s1085" o:spt="20" style="position:absolute;left:6082;top:6532;height:328;width:13;" coordsize="21600,21600">
              <v:path arrowok="t"/>
              <v:fill focussize="0,0"/>
              <v:stroke weight="1pt" endarrow="block"/>
              <v:imagedata o:title=""/>
              <o:lock v:ext="edit"/>
            </v:line>
            <v:rect id="矩形 3485" o:spid="_x0000_s1086"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87"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96328D"/>
    <w:multiLevelType w:val="singleLevel"/>
    <w:tmpl w:val="6796328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47AD0"/>
    <w:rsid w:val="00055000"/>
    <w:rsid w:val="0008248F"/>
    <w:rsid w:val="00085778"/>
    <w:rsid w:val="00093162"/>
    <w:rsid w:val="000965F4"/>
    <w:rsid w:val="000B2052"/>
    <w:rsid w:val="000B69A4"/>
    <w:rsid w:val="000C1E1A"/>
    <w:rsid w:val="000D7D85"/>
    <w:rsid w:val="00113746"/>
    <w:rsid w:val="00121255"/>
    <w:rsid w:val="00123F16"/>
    <w:rsid w:val="00145528"/>
    <w:rsid w:val="00151F16"/>
    <w:rsid w:val="00152B7A"/>
    <w:rsid w:val="00155605"/>
    <w:rsid w:val="0015672E"/>
    <w:rsid w:val="00162D84"/>
    <w:rsid w:val="00167A87"/>
    <w:rsid w:val="001820CD"/>
    <w:rsid w:val="00185E65"/>
    <w:rsid w:val="001A5AD8"/>
    <w:rsid w:val="001A73F9"/>
    <w:rsid w:val="001A7FD6"/>
    <w:rsid w:val="001B447F"/>
    <w:rsid w:val="001B4C6C"/>
    <w:rsid w:val="001B7F1C"/>
    <w:rsid w:val="001C05F3"/>
    <w:rsid w:val="001D5C08"/>
    <w:rsid w:val="001E1128"/>
    <w:rsid w:val="001F00CB"/>
    <w:rsid w:val="001F70D8"/>
    <w:rsid w:val="002023C5"/>
    <w:rsid w:val="0022058D"/>
    <w:rsid w:val="002366BB"/>
    <w:rsid w:val="0024048C"/>
    <w:rsid w:val="002409FA"/>
    <w:rsid w:val="002444B3"/>
    <w:rsid w:val="00255CA9"/>
    <w:rsid w:val="00277710"/>
    <w:rsid w:val="00277F20"/>
    <w:rsid w:val="00282A6D"/>
    <w:rsid w:val="00287656"/>
    <w:rsid w:val="00292A06"/>
    <w:rsid w:val="002A4F33"/>
    <w:rsid w:val="002B2E1F"/>
    <w:rsid w:val="002B470C"/>
    <w:rsid w:val="002C5A52"/>
    <w:rsid w:val="002C7C33"/>
    <w:rsid w:val="002D6A54"/>
    <w:rsid w:val="002E55A8"/>
    <w:rsid w:val="003068F6"/>
    <w:rsid w:val="003165F0"/>
    <w:rsid w:val="00333F72"/>
    <w:rsid w:val="003514D4"/>
    <w:rsid w:val="00353D27"/>
    <w:rsid w:val="003A4CDC"/>
    <w:rsid w:val="003F4274"/>
    <w:rsid w:val="00402C0C"/>
    <w:rsid w:val="00413C8D"/>
    <w:rsid w:val="00455633"/>
    <w:rsid w:val="00455F52"/>
    <w:rsid w:val="00485E06"/>
    <w:rsid w:val="00492DB9"/>
    <w:rsid w:val="0049561E"/>
    <w:rsid w:val="004A4DF1"/>
    <w:rsid w:val="004B6F8C"/>
    <w:rsid w:val="004E551C"/>
    <w:rsid w:val="004F6A4E"/>
    <w:rsid w:val="00535EB7"/>
    <w:rsid w:val="00542BDF"/>
    <w:rsid w:val="00545D0E"/>
    <w:rsid w:val="00550F36"/>
    <w:rsid w:val="005520A9"/>
    <w:rsid w:val="0055514F"/>
    <w:rsid w:val="00577BF6"/>
    <w:rsid w:val="00591485"/>
    <w:rsid w:val="005C1E6A"/>
    <w:rsid w:val="005D2893"/>
    <w:rsid w:val="0061672F"/>
    <w:rsid w:val="0061768E"/>
    <w:rsid w:val="006362F3"/>
    <w:rsid w:val="006503BB"/>
    <w:rsid w:val="00663C37"/>
    <w:rsid w:val="00664748"/>
    <w:rsid w:val="00670E52"/>
    <w:rsid w:val="00682FD4"/>
    <w:rsid w:val="006902C9"/>
    <w:rsid w:val="0069488E"/>
    <w:rsid w:val="00695C86"/>
    <w:rsid w:val="006A1133"/>
    <w:rsid w:val="006A526D"/>
    <w:rsid w:val="006C511A"/>
    <w:rsid w:val="006C7F1F"/>
    <w:rsid w:val="006D3BE0"/>
    <w:rsid w:val="007015F5"/>
    <w:rsid w:val="0071246F"/>
    <w:rsid w:val="00712F9B"/>
    <w:rsid w:val="00720ACB"/>
    <w:rsid w:val="00732CEF"/>
    <w:rsid w:val="00736AFE"/>
    <w:rsid w:val="00742E57"/>
    <w:rsid w:val="00743739"/>
    <w:rsid w:val="00750E24"/>
    <w:rsid w:val="007656D6"/>
    <w:rsid w:val="007D0BDA"/>
    <w:rsid w:val="0081048B"/>
    <w:rsid w:val="008145CA"/>
    <w:rsid w:val="00815FDF"/>
    <w:rsid w:val="00846ED2"/>
    <w:rsid w:val="00860D54"/>
    <w:rsid w:val="00886AD8"/>
    <w:rsid w:val="008B355C"/>
    <w:rsid w:val="008C4824"/>
    <w:rsid w:val="008D141F"/>
    <w:rsid w:val="00930800"/>
    <w:rsid w:val="00951467"/>
    <w:rsid w:val="00960B13"/>
    <w:rsid w:val="00970943"/>
    <w:rsid w:val="00983EA3"/>
    <w:rsid w:val="009A4F3E"/>
    <w:rsid w:val="009A53B5"/>
    <w:rsid w:val="009B7E60"/>
    <w:rsid w:val="009C14E1"/>
    <w:rsid w:val="009C704A"/>
    <w:rsid w:val="009D0D90"/>
    <w:rsid w:val="009D2D13"/>
    <w:rsid w:val="009D38B5"/>
    <w:rsid w:val="009E101B"/>
    <w:rsid w:val="009E3063"/>
    <w:rsid w:val="009E5B5B"/>
    <w:rsid w:val="00A20E11"/>
    <w:rsid w:val="00A31E23"/>
    <w:rsid w:val="00A40AE4"/>
    <w:rsid w:val="00A4226E"/>
    <w:rsid w:val="00A42E7C"/>
    <w:rsid w:val="00A47A9B"/>
    <w:rsid w:val="00A56A89"/>
    <w:rsid w:val="00A83B04"/>
    <w:rsid w:val="00AA41B9"/>
    <w:rsid w:val="00AC7693"/>
    <w:rsid w:val="00AD1032"/>
    <w:rsid w:val="00AE40D5"/>
    <w:rsid w:val="00AF3B11"/>
    <w:rsid w:val="00AF5818"/>
    <w:rsid w:val="00B05D4C"/>
    <w:rsid w:val="00B539AD"/>
    <w:rsid w:val="00B57C03"/>
    <w:rsid w:val="00B6506D"/>
    <w:rsid w:val="00B819B3"/>
    <w:rsid w:val="00B83F04"/>
    <w:rsid w:val="00B94922"/>
    <w:rsid w:val="00BA6A2B"/>
    <w:rsid w:val="00BB2EA2"/>
    <w:rsid w:val="00BC0C93"/>
    <w:rsid w:val="00BC6B7F"/>
    <w:rsid w:val="00BD06F9"/>
    <w:rsid w:val="00BD48CD"/>
    <w:rsid w:val="00BE5D52"/>
    <w:rsid w:val="00BF5672"/>
    <w:rsid w:val="00C1068A"/>
    <w:rsid w:val="00C1528B"/>
    <w:rsid w:val="00C16F09"/>
    <w:rsid w:val="00C3381E"/>
    <w:rsid w:val="00C73E75"/>
    <w:rsid w:val="00C9790A"/>
    <w:rsid w:val="00CA5629"/>
    <w:rsid w:val="00CA682A"/>
    <w:rsid w:val="00CC3CFF"/>
    <w:rsid w:val="00CC7180"/>
    <w:rsid w:val="00D3173B"/>
    <w:rsid w:val="00D44B8F"/>
    <w:rsid w:val="00D5623D"/>
    <w:rsid w:val="00D80155"/>
    <w:rsid w:val="00D96B02"/>
    <w:rsid w:val="00DA368E"/>
    <w:rsid w:val="00DB3030"/>
    <w:rsid w:val="00DB31B9"/>
    <w:rsid w:val="00DC495F"/>
    <w:rsid w:val="00DC78D7"/>
    <w:rsid w:val="00E10445"/>
    <w:rsid w:val="00E133DC"/>
    <w:rsid w:val="00E148A4"/>
    <w:rsid w:val="00E14A71"/>
    <w:rsid w:val="00E23AC7"/>
    <w:rsid w:val="00E32F24"/>
    <w:rsid w:val="00E40FE5"/>
    <w:rsid w:val="00E512AC"/>
    <w:rsid w:val="00E52A4F"/>
    <w:rsid w:val="00E6155A"/>
    <w:rsid w:val="00E63DB6"/>
    <w:rsid w:val="00E67E21"/>
    <w:rsid w:val="00E74A35"/>
    <w:rsid w:val="00E8778A"/>
    <w:rsid w:val="00E93783"/>
    <w:rsid w:val="00EA4363"/>
    <w:rsid w:val="00EB0471"/>
    <w:rsid w:val="00ED4A55"/>
    <w:rsid w:val="00EE1A57"/>
    <w:rsid w:val="00EE7B61"/>
    <w:rsid w:val="00EF5246"/>
    <w:rsid w:val="00F30114"/>
    <w:rsid w:val="00F458AB"/>
    <w:rsid w:val="00F72140"/>
    <w:rsid w:val="00F80312"/>
    <w:rsid w:val="00F94DA5"/>
    <w:rsid w:val="00FA5EAA"/>
    <w:rsid w:val="00FB5F66"/>
    <w:rsid w:val="00FD1E25"/>
    <w:rsid w:val="00FE7416"/>
    <w:rsid w:val="00FE7A66"/>
    <w:rsid w:val="0E5F6D8E"/>
    <w:rsid w:val="18F628FA"/>
    <w:rsid w:val="2F697505"/>
    <w:rsid w:val="2FC63B94"/>
    <w:rsid w:val="2FD94BCA"/>
    <w:rsid w:val="30756EF8"/>
    <w:rsid w:val="33F3673C"/>
    <w:rsid w:val="408A79A0"/>
    <w:rsid w:val="46623B73"/>
    <w:rsid w:val="5DF1156E"/>
    <w:rsid w:val="68A7476E"/>
    <w:rsid w:val="7606160A"/>
    <w:rsid w:val="7FC325F9"/>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1"/>
    <w:semiHidden/>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7">
    <w:name w:val="Hyperlink"/>
    <w:basedOn w:val="6"/>
    <w:semiHidden/>
    <w:unhideWhenUsed/>
    <w:uiPriority w:val="99"/>
    <w:rPr>
      <w:color w:val="0000FF"/>
      <w:u w:val="single"/>
    </w:rPr>
  </w:style>
  <w:style w:type="character" w:styleId="8">
    <w:name w:val="annotation reference"/>
    <w:basedOn w:val="6"/>
    <w:semiHidden/>
    <w:unhideWhenUsed/>
    <w:qFormat/>
    <w:uiPriority w:val="99"/>
    <w:rPr>
      <w:sz w:val="21"/>
      <w:szCs w:val="21"/>
    </w:rPr>
  </w:style>
  <w:style w:type="character" w:customStyle="1" w:styleId="10">
    <w:name w:val="页眉 Char"/>
    <w:basedOn w:val="6"/>
    <w:link w:val="5"/>
    <w:semiHidden/>
    <w:qFormat/>
    <w:locked/>
    <w:uiPriority w:val="99"/>
    <w:rPr>
      <w:rFonts w:cs="Times New Roman"/>
      <w:sz w:val="18"/>
      <w:szCs w:val="18"/>
    </w:rPr>
  </w:style>
  <w:style w:type="character" w:customStyle="1" w:styleId="11">
    <w:name w:val="页脚 Char"/>
    <w:basedOn w:val="6"/>
    <w:link w:val="4"/>
    <w:semiHidden/>
    <w:qFormat/>
    <w:locked/>
    <w:uiPriority w:val="99"/>
    <w:rPr>
      <w:rFonts w:cs="Times New Roman"/>
      <w:sz w:val="18"/>
      <w:szCs w:val="18"/>
    </w:rPr>
  </w:style>
  <w:style w:type="character" w:customStyle="1" w:styleId="12">
    <w:name w:val="info1"/>
    <w:basedOn w:val="6"/>
    <w:qFormat/>
    <w:uiPriority w:val="99"/>
    <w:rPr>
      <w:rFonts w:cs="Times New Roman"/>
      <w:spacing w:val="15"/>
      <w:sz w:val="21"/>
      <w:szCs w:val="21"/>
    </w:rPr>
  </w:style>
  <w:style w:type="paragraph" w:customStyle="1" w:styleId="13">
    <w:name w:val="p0"/>
    <w:basedOn w:val="1"/>
    <w:qFormat/>
    <w:uiPriority w:val="99"/>
    <w:pPr>
      <w:widowControl/>
    </w:pPr>
    <w:rPr>
      <w:kern w:val="0"/>
      <w:sz w:val="21"/>
      <w:szCs w:val="21"/>
    </w:rPr>
  </w:style>
  <w:style w:type="character" w:customStyle="1" w:styleId="14">
    <w:name w:val="批注框文本 Char"/>
    <w:basedOn w:val="6"/>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529</Words>
  <Characters>3019</Characters>
  <Lines>25</Lines>
  <Paragraphs>7</Paragraphs>
  <ScaleCrop>false</ScaleCrop>
  <LinksUpToDate>false</LinksUpToDate>
  <CharactersWithSpaces>3541</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2017-05-05T08:53:00Z</dcterms:created>
  <dc:creator>微软用户</dc:creator>
  <cp:lastModifiedBy>4587548</cp:lastModifiedBy>
  <dcterms:modified xsi:type="dcterms:W3CDTF">2018-04-27T07:58:16Z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